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53F" w:rsidRPr="00EA7B07" w:rsidRDefault="00EA7B07" w:rsidP="00EA7B07">
      <w:pPr>
        <w:jc w:val="center"/>
        <w:rPr>
          <w:b/>
        </w:rPr>
      </w:pPr>
      <w:r w:rsidRPr="00EA7B07">
        <w:rPr>
          <w:b/>
        </w:rPr>
        <w:t>2</w:t>
      </w:r>
      <w:r w:rsidR="00DA1904">
        <w:rPr>
          <w:b/>
        </w:rPr>
        <w:t>0</w:t>
      </w:r>
      <w:r w:rsidRPr="00EA7B07">
        <w:rPr>
          <w:b/>
        </w:rPr>
        <w:t>1</w:t>
      </w:r>
      <w:r w:rsidR="00DA1904">
        <w:rPr>
          <w:b/>
        </w:rPr>
        <w:t>9</w:t>
      </w:r>
      <w:r w:rsidRPr="00EA7B07">
        <w:rPr>
          <w:b/>
        </w:rPr>
        <w:t xml:space="preserve"> 01G 2868</w:t>
      </w:r>
    </w:p>
    <w:p w:rsidR="00EA7B07" w:rsidRPr="00EA7B07" w:rsidRDefault="00EA7B07" w:rsidP="00EA7B07">
      <w:pPr>
        <w:jc w:val="center"/>
        <w:rPr>
          <w:b/>
        </w:rPr>
      </w:pPr>
      <w:r w:rsidRPr="00EA7B07">
        <w:rPr>
          <w:b/>
        </w:rPr>
        <w:t>IN THE SUPREME COURT OF NEWFOUNDLAND AND LABRADOR</w:t>
      </w:r>
    </w:p>
    <w:p w:rsidR="00EA7B07" w:rsidRPr="00EA7B07" w:rsidRDefault="00EA7B07" w:rsidP="00EA7B07">
      <w:pPr>
        <w:spacing w:after="0" w:line="240" w:lineRule="auto"/>
        <w:jc w:val="center"/>
        <w:rPr>
          <w:b/>
        </w:rPr>
      </w:pPr>
      <w:r w:rsidRPr="00EA7B07">
        <w:rPr>
          <w:b/>
        </w:rPr>
        <w:t>GENERAL DIVISION</w:t>
      </w:r>
    </w:p>
    <w:p w:rsidR="00EA7B07" w:rsidRDefault="00EA7B07" w:rsidP="00EA7B07">
      <w:pPr>
        <w:spacing w:after="0" w:line="240" w:lineRule="auto"/>
      </w:pPr>
    </w:p>
    <w:p w:rsidR="00477BB0" w:rsidRDefault="00477BB0" w:rsidP="00EA7B07">
      <w:pPr>
        <w:spacing w:after="0" w:line="240" w:lineRule="auto"/>
      </w:pPr>
    </w:p>
    <w:p w:rsidR="00477BB0" w:rsidRDefault="00477BB0" w:rsidP="00EA7B07">
      <w:pPr>
        <w:spacing w:after="0" w:line="240" w:lineRule="auto"/>
      </w:pPr>
    </w:p>
    <w:p w:rsidR="00EA7B07" w:rsidRDefault="00EA7B07" w:rsidP="00196F3E">
      <w:pPr>
        <w:spacing w:after="0" w:line="240" w:lineRule="auto"/>
        <w:ind w:left="2880" w:hanging="2880"/>
        <w:jc w:val="both"/>
      </w:pPr>
      <w:r w:rsidRPr="00EA7B07">
        <w:rPr>
          <w:b/>
        </w:rPr>
        <w:t>IN THE MATTER OF:</w:t>
      </w:r>
      <w:r>
        <w:tab/>
        <w:t>An Application by</w:t>
      </w:r>
      <w:r w:rsidRPr="00EA7B07">
        <w:rPr>
          <w:b/>
        </w:rPr>
        <w:t xml:space="preserve"> </w:t>
      </w:r>
      <w:r w:rsidR="00C87113">
        <w:rPr>
          <w:b/>
        </w:rPr>
        <w:t xml:space="preserve">Deloitte Restructuring Inc., Monitor of </w:t>
      </w:r>
      <w:r w:rsidRPr="00EA7B07">
        <w:rPr>
          <w:b/>
        </w:rPr>
        <w:t>BRITISH CONFECTIONERY COMPANY LIMITED</w:t>
      </w:r>
      <w:r>
        <w:t xml:space="preserve"> and </w:t>
      </w:r>
      <w:r w:rsidRPr="00EA7B07">
        <w:rPr>
          <w:b/>
        </w:rPr>
        <w:t>BRITISH BAZAAR COMPANY LIMITED</w:t>
      </w:r>
      <w:r>
        <w:t xml:space="preserve"> (the “</w:t>
      </w:r>
      <w:r w:rsidR="00C87113">
        <w:t>Monitor</w:t>
      </w:r>
      <w:r>
        <w:t xml:space="preserve">”) for relief under the </w:t>
      </w:r>
      <w:r w:rsidRPr="00EA7B07">
        <w:rPr>
          <w:i/>
        </w:rPr>
        <w:t>Companies’ Creditors Arrangement Act</w:t>
      </w:r>
      <w:r>
        <w:t>, R.S.C. 1985, c. C-36, as am.</w:t>
      </w:r>
    </w:p>
    <w:p w:rsidR="00477BB0" w:rsidRDefault="00477BB0" w:rsidP="00196F3E">
      <w:pPr>
        <w:spacing w:after="0" w:line="240" w:lineRule="auto"/>
        <w:ind w:left="2880" w:hanging="2880"/>
        <w:jc w:val="both"/>
      </w:pPr>
    </w:p>
    <w:p w:rsidR="00EA7B07" w:rsidRDefault="00EA7B07" w:rsidP="00EA7B07">
      <w:pPr>
        <w:spacing w:after="0" w:line="240" w:lineRule="auto"/>
      </w:pPr>
    </w:p>
    <w:tbl>
      <w:tblPr>
        <w:tblStyle w:val="TableGrid"/>
        <w:tblW w:w="9535" w:type="dxa"/>
        <w:tblLook w:val="04A0" w:firstRow="1" w:lastRow="0" w:firstColumn="1" w:lastColumn="0" w:noHBand="0" w:noVBand="1"/>
      </w:tblPr>
      <w:tblGrid>
        <w:gridCol w:w="4675"/>
        <w:gridCol w:w="4860"/>
      </w:tblGrid>
      <w:tr w:rsidR="00F23F0E" w:rsidTr="00477BB0">
        <w:tc>
          <w:tcPr>
            <w:tcW w:w="9535" w:type="dxa"/>
            <w:gridSpan w:val="2"/>
          </w:tcPr>
          <w:p w:rsidR="00F23F0E" w:rsidRPr="00477BB0" w:rsidRDefault="00F23F0E" w:rsidP="00E74971">
            <w:pPr>
              <w:pStyle w:val="Heading1"/>
              <w:outlineLvl w:val="0"/>
            </w:pPr>
            <w:r w:rsidRPr="00477BB0">
              <w:t>SUMMARY OF CURRENT DOCUMENT</w:t>
            </w:r>
          </w:p>
        </w:tc>
      </w:tr>
      <w:tr w:rsidR="00F23F0E" w:rsidTr="00C87113">
        <w:tc>
          <w:tcPr>
            <w:tcW w:w="4675" w:type="dxa"/>
          </w:tcPr>
          <w:p w:rsidR="00F23F0E" w:rsidRPr="00477BB0" w:rsidRDefault="00F23F0E" w:rsidP="00EA7B07">
            <w:pPr>
              <w:rPr>
                <w:sz w:val="20"/>
                <w:szCs w:val="20"/>
              </w:rPr>
            </w:pPr>
            <w:r w:rsidRPr="00477BB0">
              <w:rPr>
                <w:sz w:val="20"/>
                <w:szCs w:val="20"/>
              </w:rPr>
              <w:t>Court File No.</w:t>
            </w:r>
          </w:p>
        </w:tc>
        <w:tc>
          <w:tcPr>
            <w:tcW w:w="4860" w:type="dxa"/>
          </w:tcPr>
          <w:p w:rsidR="00F23F0E" w:rsidRPr="00477BB0" w:rsidRDefault="00F23F0E" w:rsidP="00EA7B07">
            <w:pPr>
              <w:rPr>
                <w:sz w:val="20"/>
                <w:szCs w:val="20"/>
              </w:rPr>
            </w:pPr>
            <w:r w:rsidRPr="00477BB0">
              <w:rPr>
                <w:sz w:val="20"/>
                <w:szCs w:val="20"/>
              </w:rPr>
              <w:t>2019 01G 2868</w:t>
            </w:r>
          </w:p>
        </w:tc>
      </w:tr>
      <w:tr w:rsidR="00F23F0E" w:rsidTr="00C87113">
        <w:tc>
          <w:tcPr>
            <w:tcW w:w="4675" w:type="dxa"/>
          </w:tcPr>
          <w:p w:rsidR="00F23F0E" w:rsidRPr="00477BB0" w:rsidRDefault="00F23F0E" w:rsidP="00EA7B07">
            <w:pPr>
              <w:rPr>
                <w:sz w:val="20"/>
                <w:szCs w:val="20"/>
              </w:rPr>
            </w:pPr>
            <w:r w:rsidRPr="00477BB0">
              <w:rPr>
                <w:sz w:val="20"/>
                <w:szCs w:val="20"/>
              </w:rPr>
              <w:t>Date of filing of document</w:t>
            </w:r>
          </w:p>
        </w:tc>
        <w:tc>
          <w:tcPr>
            <w:tcW w:w="4860" w:type="dxa"/>
          </w:tcPr>
          <w:p w:rsidR="00F23F0E" w:rsidRPr="00477BB0" w:rsidRDefault="00F23F0E" w:rsidP="00EA7B07">
            <w:pPr>
              <w:rPr>
                <w:sz w:val="20"/>
                <w:szCs w:val="20"/>
              </w:rPr>
            </w:pPr>
          </w:p>
        </w:tc>
      </w:tr>
      <w:tr w:rsidR="00F23F0E" w:rsidTr="00C87113">
        <w:tc>
          <w:tcPr>
            <w:tcW w:w="4675" w:type="dxa"/>
          </w:tcPr>
          <w:p w:rsidR="00F23F0E" w:rsidRPr="00477BB0" w:rsidRDefault="00F23F0E" w:rsidP="00EA7B07">
            <w:pPr>
              <w:rPr>
                <w:sz w:val="20"/>
                <w:szCs w:val="20"/>
              </w:rPr>
            </w:pPr>
            <w:r w:rsidRPr="00477BB0">
              <w:rPr>
                <w:sz w:val="20"/>
                <w:szCs w:val="20"/>
              </w:rPr>
              <w:t>Name of filing party or person</w:t>
            </w:r>
          </w:p>
        </w:tc>
        <w:tc>
          <w:tcPr>
            <w:tcW w:w="4860" w:type="dxa"/>
          </w:tcPr>
          <w:p w:rsidR="00F23F0E" w:rsidRPr="00477BB0" w:rsidRDefault="00F23F0E" w:rsidP="00EA7B07">
            <w:pPr>
              <w:rPr>
                <w:sz w:val="20"/>
                <w:szCs w:val="20"/>
              </w:rPr>
            </w:pPr>
            <w:r w:rsidRPr="00477BB0">
              <w:rPr>
                <w:sz w:val="20"/>
                <w:szCs w:val="20"/>
              </w:rPr>
              <w:t>R. Bruce J</w:t>
            </w:r>
            <w:r w:rsidR="00C87113">
              <w:rPr>
                <w:sz w:val="20"/>
                <w:szCs w:val="20"/>
              </w:rPr>
              <w:t>ohnson, Counsel to the Monitor</w:t>
            </w:r>
          </w:p>
        </w:tc>
      </w:tr>
      <w:tr w:rsidR="00F23F0E" w:rsidTr="00C87113">
        <w:tc>
          <w:tcPr>
            <w:tcW w:w="4675" w:type="dxa"/>
          </w:tcPr>
          <w:p w:rsidR="00F23F0E" w:rsidRPr="00477BB0" w:rsidRDefault="00F23F0E" w:rsidP="00EA7B07">
            <w:pPr>
              <w:rPr>
                <w:sz w:val="20"/>
                <w:szCs w:val="20"/>
              </w:rPr>
            </w:pPr>
            <w:r w:rsidRPr="00477BB0">
              <w:rPr>
                <w:sz w:val="20"/>
                <w:szCs w:val="20"/>
              </w:rPr>
              <w:t>Application to which document being filed relates:</w:t>
            </w:r>
          </w:p>
        </w:tc>
        <w:tc>
          <w:tcPr>
            <w:tcW w:w="4860" w:type="dxa"/>
          </w:tcPr>
          <w:p w:rsidR="00F23F0E" w:rsidRPr="00477BB0" w:rsidRDefault="00F23F0E" w:rsidP="00C87113">
            <w:pPr>
              <w:rPr>
                <w:sz w:val="20"/>
                <w:szCs w:val="20"/>
              </w:rPr>
            </w:pPr>
            <w:r w:rsidRPr="00477BB0">
              <w:rPr>
                <w:i/>
                <w:sz w:val="20"/>
                <w:szCs w:val="20"/>
              </w:rPr>
              <w:t>Companies’ Creditors Arrangement Act</w:t>
            </w:r>
            <w:r w:rsidRPr="00477BB0">
              <w:rPr>
                <w:sz w:val="20"/>
                <w:szCs w:val="20"/>
              </w:rPr>
              <w:t xml:space="preserve"> </w:t>
            </w:r>
            <w:r w:rsidR="00C87113">
              <w:rPr>
                <w:sz w:val="20"/>
                <w:szCs w:val="20"/>
              </w:rPr>
              <w:t>Discharge</w:t>
            </w:r>
            <w:r w:rsidRPr="00477BB0">
              <w:rPr>
                <w:sz w:val="20"/>
                <w:szCs w:val="20"/>
              </w:rPr>
              <w:t xml:space="preserve"> Order</w:t>
            </w:r>
          </w:p>
        </w:tc>
      </w:tr>
      <w:tr w:rsidR="00F23F0E" w:rsidTr="00C87113">
        <w:tc>
          <w:tcPr>
            <w:tcW w:w="4675" w:type="dxa"/>
          </w:tcPr>
          <w:p w:rsidR="00F23F0E" w:rsidRPr="00477BB0" w:rsidRDefault="00F23F0E" w:rsidP="00EA7B07">
            <w:pPr>
              <w:rPr>
                <w:sz w:val="20"/>
                <w:szCs w:val="20"/>
              </w:rPr>
            </w:pPr>
            <w:r w:rsidRPr="00477BB0">
              <w:rPr>
                <w:sz w:val="20"/>
                <w:szCs w:val="20"/>
              </w:rPr>
              <w:t>Statement of purpose in filing</w:t>
            </w:r>
          </w:p>
        </w:tc>
        <w:tc>
          <w:tcPr>
            <w:tcW w:w="4860" w:type="dxa"/>
          </w:tcPr>
          <w:p w:rsidR="00F23F0E" w:rsidRPr="00477BB0" w:rsidRDefault="00C87113" w:rsidP="00EA7B07">
            <w:pPr>
              <w:rPr>
                <w:sz w:val="20"/>
                <w:szCs w:val="20"/>
              </w:rPr>
            </w:pPr>
            <w:r>
              <w:rPr>
                <w:sz w:val="20"/>
                <w:szCs w:val="20"/>
              </w:rPr>
              <w:t>Discharge Order</w:t>
            </w:r>
          </w:p>
        </w:tc>
      </w:tr>
    </w:tbl>
    <w:p w:rsidR="00EA7B07" w:rsidRDefault="00EA7B07" w:rsidP="00EA7B07">
      <w:pPr>
        <w:spacing w:after="0" w:line="240" w:lineRule="auto"/>
      </w:pPr>
    </w:p>
    <w:p w:rsidR="00477BB0" w:rsidRDefault="00477BB0" w:rsidP="00EA7B07">
      <w:pPr>
        <w:spacing w:after="0" w:line="240" w:lineRule="auto"/>
      </w:pPr>
    </w:p>
    <w:p w:rsidR="00EA7B07" w:rsidRPr="00477BB0" w:rsidRDefault="00DA1904" w:rsidP="00EA7B07">
      <w:pPr>
        <w:pStyle w:val="Heading1"/>
        <w:rPr>
          <w:sz w:val="28"/>
          <w:szCs w:val="28"/>
        </w:rPr>
      </w:pPr>
      <w:r>
        <w:rPr>
          <w:sz w:val="28"/>
          <w:szCs w:val="28"/>
        </w:rPr>
        <w:t>DISCHARGE ORDER</w:t>
      </w:r>
    </w:p>
    <w:p w:rsidR="00EA7B07" w:rsidRDefault="00EA7B07" w:rsidP="00EA7B07">
      <w:pPr>
        <w:spacing w:after="0" w:line="240" w:lineRule="auto"/>
      </w:pPr>
    </w:p>
    <w:p w:rsidR="00EA7B07" w:rsidRDefault="00E74971" w:rsidP="00EA7B07">
      <w:pPr>
        <w:spacing w:after="0" w:line="240" w:lineRule="auto"/>
      </w:pPr>
      <w:r>
        <w:t>Before the H</w:t>
      </w:r>
      <w:r w:rsidR="00DA1904">
        <w:t xml:space="preserve">onourable </w:t>
      </w:r>
      <w:r>
        <w:t>J</w:t>
      </w:r>
      <w:r w:rsidR="00DA1904">
        <w:t xml:space="preserve">ustice ____________________, IN CHAMBERS: </w:t>
      </w:r>
    </w:p>
    <w:p w:rsidR="00477BB0" w:rsidRDefault="00477BB0" w:rsidP="00EA7B07">
      <w:pPr>
        <w:spacing w:after="0" w:line="240" w:lineRule="auto"/>
      </w:pPr>
    </w:p>
    <w:p w:rsidR="00EA7B07" w:rsidRPr="00DA1904" w:rsidRDefault="00DA1904" w:rsidP="009D2FF6">
      <w:pPr>
        <w:pStyle w:val="Heading2"/>
        <w:jc w:val="both"/>
        <w:rPr>
          <w:b w:val="0"/>
        </w:rPr>
      </w:pPr>
      <w:r>
        <w:t xml:space="preserve">UPON MOTION </w:t>
      </w:r>
      <w:r>
        <w:rPr>
          <w:b w:val="0"/>
        </w:rPr>
        <w:t>made by Deloitte Restructuring Inc., in its capacity as the Monitor (the “Monitor”) of British Confectionery Company Limited and British Bazaar Company Limited for an Order:</w:t>
      </w:r>
    </w:p>
    <w:p w:rsidR="00196F3E" w:rsidRDefault="00196F3E" w:rsidP="009D2FF6">
      <w:pPr>
        <w:spacing w:after="0" w:line="240" w:lineRule="auto"/>
        <w:jc w:val="both"/>
      </w:pPr>
    </w:p>
    <w:p w:rsidR="00196F3E" w:rsidRDefault="00196F3E" w:rsidP="009D2FF6">
      <w:pPr>
        <w:pStyle w:val="ListParagraph"/>
        <w:numPr>
          <w:ilvl w:val="0"/>
          <w:numId w:val="1"/>
        </w:numPr>
        <w:spacing w:after="0" w:line="240" w:lineRule="auto"/>
        <w:ind w:hanging="720"/>
        <w:jc w:val="both"/>
      </w:pPr>
      <w:r>
        <w:t xml:space="preserve">Validating service of this Application and supporting </w:t>
      </w:r>
      <w:r w:rsidR="00C87113">
        <w:t xml:space="preserve">the </w:t>
      </w:r>
      <w:r>
        <w:t>Third Report of the Monitor;</w:t>
      </w:r>
    </w:p>
    <w:p w:rsidR="00156AB0" w:rsidRDefault="00156AB0" w:rsidP="009D2FF6">
      <w:pPr>
        <w:spacing w:after="0" w:line="240" w:lineRule="auto"/>
        <w:jc w:val="both"/>
      </w:pPr>
    </w:p>
    <w:p w:rsidR="00196F3E" w:rsidRDefault="00196F3E" w:rsidP="009D2FF6">
      <w:pPr>
        <w:pStyle w:val="ListParagraph"/>
        <w:numPr>
          <w:ilvl w:val="0"/>
          <w:numId w:val="1"/>
        </w:numPr>
        <w:spacing w:after="0" w:line="240" w:lineRule="auto"/>
        <w:ind w:hanging="720"/>
        <w:jc w:val="both"/>
      </w:pPr>
      <w:r>
        <w:t>Approving the Reports, activities and conduct of the Monitor to date</w:t>
      </w:r>
      <w:r w:rsidR="00156AB0">
        <w:t>;</w:t>
      </w:r>
    </w:p>
    <w:p w:rsidR="009D2FF6" w:rsidRDefault="009D2FF6" w:rsidP="009D2FF6">
      <w:pPr>
        <w:spacing w:after="0" w:line="240" w:lineRule="auto"/>
        <w:jc w:val="both"/>
      </w:pPr>
    </w:p>
    <w:p w:rsidR="00196F3E" w:rsidRDefault="00196F3E" w:rsidP="009D2FF6">
      <w:pPr>
        <w:pStyle w:val="ListParagraph"/>
        <w:numPr>
          <w:ilvl w:val="0"/>
          <w:numId w:val="1"/>
        </w:numPr>
        <w:spacing w:after="0" w:line="240" w:lineRule="auto"/>
        <w:ind w:hanging="720"/>
        <w:jc w:val="both"/>
      </w:pPr>
      <w:r>
        <w:t>Approving the accounts of the Monitor and the Monitor’s counsel</w:t>
      </w:r>
      <w:r w:rsidR="00156AB0">
        <w:t>;</w:t>
      </w:r>
    </w:p>
    <w:p w:rsidR="00156AB0" w:rsidRDefault="00156AB0" w:rsidP="009D2FF6">
      <w:pPr>
        <w:spacing w:after="0" w:line="240" w:lineRule="auto"/>
        <w:jc w:val="both"/>
      </w:pPr>
    </w:p>
    <w:p w:rsidR="00196F3E" w:rsidRDefault="00196F3E" w:rsidP="009D2FF6">
      <w:pPr>
        <w:pStyle w:val="ListParagraph"/>
        <w:numPr>
          <w:ilvl w:val="0"/>
          <w:numId w:val="1"/>
        </w:numPr>
        <w:spacing w:after="0" w:line="240" w:lineRule="auto"/>
        <w:ind w:hanging="720"/>
        <w:jc w:val="both"/>
      </w:pPr>
      <w:r>
        <w:t>Discharging Deloitte Restructuring Inc. as the Monitor of British Confectionery Company Limited and British Bazaar Company Limited</w:t>
      </w:r>
      <w:r w:rsidR="00156AB0">
        <w:t>;</w:t>
      </w:r>
      <w:r>
        <w:t xml:space="preserve"> and</w:t>
      </w:r>
    </w:p>
    <w:p w:rsidR="00156AB0" w:rsidRDefault="00156AB0" w:rsidP="009D2FF6">
      <w:pPr>
        <w:spacing w:after="0" w:line="240" w:lineRule="auto"/>
        <w:jc w:val="both"/>
      </w:pPr>
    </w:p>
    <w:p w:rsidR="00196F3E" w:rsidRDefault="00196F3E" w:rsidP="009D2FF6">
      <w:pPr>
        <w:pStyle w:val="ListParagraph"/>
        <w:numPr>
          <w:ilvl w:val="0"/>
          <w:numId w:val="1"/>
        </w:numPr>
        <w:spacing w:after="0" w:line="240" w:lineRule="auto"/>
        <w:ind w:hanging="720"/>
        <w:jc w:val="both"/>
      </w:pPr>
      <w:r>
        <w:t>Providing such further and other relief as counsel may seek and this Honourable Court deems just and equitable.</w:t>
      </w:r>
    </w:p>
    <w:p w:rsidR="00196F3E" w:rsidRDefault="00196F3E" w:rsidP="009D2FF6">
      <w:pPr>
        <w:spacing w:after="0" w:line="240" w:lineRule="auto"/>
        <w:jc w:val="both"/>
      </w:pPr>
    </w:p>
    <w:p w:rsidR="00F23F0E" w:rsidRDefault="00DA1904" w:rsidP="00DA1904">
      <w:pPr>
        <w:spacing w:after="0" w:line="240" w:lineRule="auto"/>
        <w:jc w:val="both"/>
      </w:pPr>
      <w:r w:rsidRPr="00DA1904">
        <w:rPr>
          <w:b/>
        </w:rPr>
        <w:t xml:space="preserve">UPON READING </w:t>
      </w:r>
      <w:r>
        <w:t>the Monitor’s Third Report, the Affidavit of R. Bruce Johnson, and other materials on file herein;</w:t>
      </w:r>
    </w:p>
    <w:p w:rsidR="00DA1904" w:rsidRDefault="00DA1904" w:rsidP="00DA1904">
      <w:pPr>
        <w:spacing w:after="0" w:line="240" w:lineRule="auto"/>
        <w:jc w:val="both"/>
      </w:pPr>
    </w:p>
    <w:p w:rsidR="00DA1904" w:rsidRDefault="00DA1904" w:rsidP="00DA1904">
      <w:pPr>
        <w:spacing w:after="0" w:line="240" w:lineRule="auto"/>
        <w:jc w:val="both"/>
      </w:pPr>
      <w:r w:rsidRPr="00DA1904">
        <w:rPr>
          <w:b/>
        </w:rPr>
        <w:t>AND UPON HEARING</w:t>
      </w:r>
      <w:r>
        <w:t xml:space="preserve">  the submissions of R. Bruce Johnson, counsel for the Monitor, and such other counsel who appeared and were heard:</w:t>
      </w:r>
    </w:p>
    <w:p w:rsidR="00DA1904" w:rsidRDefault="00DA1904" w:rsidP="00DA1904">
      <w:pPr>
        <w:spacing w:after="0" w:line="240" w:lineRule="auto"/>
        <w:jc w:val="both"/>
      </w:pPr>
    </w:p>
    <w:p w:rsidR="00DA1904" w:rsidRPr="00DA1904" w:rsidRDefault="00DA1904" w:rsidP="00DA1904">
      <w:pPr>
        <w:spacing w:after="0" w:line="240" w:lineRule="auto"/>
        <w:jc w:val="both"/>
        <w:rPr>
          <w:b/>
        </w:rPr>
      </w:pPr>
      <w:r w:rsidRPr="00DA1904">
        <w:rPr>
          <w:b/>
        </w:rPr>
        <w:t xml:space="preserve">NOW UPON </w:t>
      </w:r>
      <w:r w:rsidR="00C87113">
        <w:rPr>
          <w:b/>
        </w:rPr>
        <w:t>THIS APPLICATION</w:t>
      </w:r>
      <w:r w:rsidRPr="00DA1904">
        <w:rPr>
          <w:b/>
        </w:rPr>
        <w:t>:</w:t>
      </w:r>
    </w:p>
    <w:p w:rsidR="00DA1904" w:rsidRPr="00DA1904" w:rsidRDefault="00DA1904" w:rsidP="00196F3E">
      <w:pPr>
        <w:spacing w:after="0" w:line="240" w:lineRule="auto"/>
        <w:rPr>
          <w:b/>
        </w:rPr>
      </w:pPr>
      <w:r w:rsidRPr="00DA1904">
        <w:rPr>
          <w:b/>
        </w:rPr>
        <w:lastRenderedPageBreak/>
        <w:t>IT IS HEREBY ORDERED AND DIRECTED THAT:</w:t>
      </w:r>
    </w:p>
    <w:p w:rsidR="00DA1904" w:rsidRDefault="00DA1904" w:rsidP="00196F3E">
      <w:pPr>
        <w:spacing w:after="0" w:line="240" w:lineRule="auto"/>
      </w:pPr>
    </w:p>
    <w:p w:rsidR="00DA1904" w:rsidRPr="00363A67" w:rsidRDefault="00DA1904" w:rsidP="00DA1904">
      <w:pPr>
        <w:pStyle w:val="Header"/>
        <w:tabs>
          <w:tab w:val="clear" w:pos="4680"/>
          <w:tab w:val="clear" w:pos="9360"/>
        </w:tabs>
        <w:rPr>
          <w:b/>
        </w:rPr>
      </w:pPr>
      <w:r w:rsidRPr="00363A67">
        <w:rPr>
          <w:b/>
        </w:rPr>
        <w:t>Service</w:t>
      </w:r>
    </w:p>
    <w:p w:rsidR="00DA1904" w:rsidRDefault="00DA1904" w:rsidP="00196F3E">
      <w:pPr>
        <w:spacing w:after="0" w:line="240" w:lineRule="auto"/>
      </w:pPr>
    </w:p>
    <w:p w:rsidR="00DA1904" w:rsidRDefault="00DA1904" w:rsidP="00363A67">
      <w:pPr>
        <w:pStyle w:val="ListParagraph"/>
        <w:numPr>
          <w:ilvl w:val="0"/>
          <w:numId w:val="2"/>
        </w:numPr>
        <w:spacing w:after="0" w:line="240" w:lineRule="auto"/>
        <w:ind w:hanging="720"/>
      </w:pPr>
      <w:r>
        <w:t xml:space="preserve">The timing and method of service of the </w:t>
      </w:r>
      <w:r w:rsidR="00C87113">
        <w:t>Application</w:t>
      </w:r>
      <w:r>
        <w:t xml:space="preserve">, the supporting Affidavit, and the Monitor’s Third Report are hereby validated, such that this </w:t>
      </w:r>
      <w:r w:rsidR="00C87113">
        <w:t>Applicatio</w:t>
      </w:r>
      <w:r>
        <w:t xml:space="preserve">n is properly returnable today and further service is hereby dispensed </w:t>
      </w:r>
      <w:r w:rsidR="00363A67">
        <w:t>with.</w:t>
      </w:r>
    </w:p>
    <w:p w:rsidR="00363A67" w:rsidRDefault="00363A67" w:rsidP="00196F3E">
      <w:pPr>
        <w:spacing w:after="0" w:line="240" w:lineRule="auto"/>
      </w:pPr>
    </w:p>
    <w:p w:rsidR="00363A67" w:rsidRPr="00363A67" w:rsidRDefault="00363A67" w:rsidP="00363A67">
      <w:pPr>
        <w:pStyle w:val="Heading2"/>
      </w:pPr>
      <w:r w:rsidRPr="00363A67">
        <w:t xml:space="preserve">Approval of Reports </w:t>
      </w:r>
    </w:p>
    <w:p w:rsidR="00363A67" w:rsidRDefault="00363A67" w:rsidP="00196F3E">
      <w:pPr>
        <w:spacing w:after="0" w:line="240" w:lineRule="auto"/>
      </w:pPr>
    </w:p>
    <w:p w:rsidR="00363A67" w:rsidRDefault="00363A67" w:rsidP="00363A67">
      <w:pPr>
        <w:pStyle w:val="ListParagraph"/>
        <w:numPr>
          <w:ilvl w:val="0"/>
          <w:numId w:val="2"/>
        </w:numPr>
        <w:spacing w:after="0" w:line="240" w:lineRule="auto"/>
        <w:ind w:hanging="720"/>
      </w:pPr>
      <w:r>
        <w:t>The reports filed by the Monitor, together with the conduct and activities of the Monitor as descri</w:t>
      </w:r>
      <w:r w:rsidR="00062BC2">
        <w:t>bed</w:t>
      </w:r>
      <w:r>
        <w:t xml:space="preserve"> th</w:t>
      </w:r>
      <w:bookmarkStart w:id="0" w:name="_GoBack"/>
      <w:bookmarkEnd w:id="0"/>
      <w:r>
        <w:t>erein, be and are hereby approved.</w:t>
      </w:r>
    </w:p>
    <w:p w:rsidR="00363A67" w:rsidRDefault="00363A67" w:rsidP="00363A67">
      <w:pPr>
        <w:spacing w:after="0" w:line="240" w:lineRule="auto"/>
      </w:pPr>
    </w:p>
    <w:p w:rsidR="00363A67" w:rsidRPr="001D5000" w:rsidRDefault="00363A67" w:rsidP="001D5000">
      <w:pPr>
        <w:pStyle w:val="Heading2"/>
      </w:pPr>
      <w:r w:rsidRPr="001D5000">
        <w:t>Approval of Fees and Disbursements</w:t>
      </w:r>
    </w:p>
    <w:p w:rsidR="00363A67" w:rsidRDefault="00363A67" w:rsidP="00363A67">
      <w:pPr>
        <w:spacing w:after="0" w:line="240" w:lineRule="auto"/>
      </w:pPr>
    </w:p>
    <w:p w:rsidR="00363A67" w:rsidRDefault="00363A67" w:rsidP="00363A67">
      <w:pPr>
        <w:pStyle w:val="ListParagraph"/>
        <w:numPr>
          <w:ilvl w:val="0"/>
          <w:numId w:val="2"/>
        </w:numPr>
        <w:spacing w:after="0" w:line="240" w:lineRule="auto"/>
        <w:ind w:hanging="720"/>
      </w:pPr>
      <w:r>
        <w:t>The fees and disbursements of the Monitor for the period from October 31, 2018 to July 10, 2019 inclusive, as set out in the Third Report, be and are hereby approved.</w:t>
      </w:r>
    </w:p>
    <w:p w:rsidR="00363A67" w:rsidRDefault="00363A67" w:rsidP="00363A67">
      <w:pPr>
        <w:spacing w:after="0" w:line="240" w:lineRule="auto"/>
      </w:pPr>
    </w:p>
    <w:p w:rsidR="00363A67" w:rsidRDefault="00363A67" w:rsidP="00363A67">
      <w:pPr>
        <w:pStyle w:val="ListParagraph"/>
        <w:numPr>
          <w:ilvl w:val="0"/>
          <w:numId w:val="2"/>
        </w:numPr>
        <w:spacing w:after="0" w:line="240" w:lineRule="auto"/>
        <w:ind w:hanging="720"/>
      </w:pPr>
      <w:r>
        <w:t xml:space="preserve">The fees and disbursements of the Monitor’s counsel, Ellsworth Johnson &amp; Partners, for the period from May 30, 2019 to July </w:t>
      </w:r>
      <w:r w:rsidR="00C87113">
        <w:t>3</w:t>
      </w:r>
      <w:r>
        <w:t xml:space="preserve">, 2019 inclusive, as set out in the </w:t>
      </w:r>
      <w:r w:rsidR="00C87113">
        <w:t xml:space="preserve">Third </w:t>
      </w:r>
      <w:r>
        <w:t>Report and the Affidavit of R. Bruce Johnson, be and are hereby approved.</w:t>
      </w:r>
    </w:p>
    <w:p w:rsidR="001D5000" w:rsidRDefault="001D5000" w:rsidP="001D5000">
      <w:pPr>
        <w:spacing w:after="0" w:line="240" w:lineRule="auto"/>
      </w:pPr>
    </w:p>
    <w:p w:rsidR="001D5000" w:rsidRPr="001D5000" w:rsidRDefault="001D5000" w:rsidP="001D5000">
      <w:pPr>
        <w:pStyle w:val="Heading2"/>
      </w:pPr>
      <w:r w:rsidRPr="001D5000">
        <w:t>Discharge of the Monitor</w:t>
      </w:r>
    </w:p>
    <w:p w:rsidR="001D5000" w:rsidRDefault="001D5000" w:rsidP="001D5000">
      <w:pPr>
        <w:spacing w:after="0" w:line="240" w:lineRule="auto"/>
      </w:pPr>
    </w:p>
    <w:p w:rsidR="00363A67" w:rsidRDefault="00363A67" w:rsidP="001D5000">
      <w:pPr>
        <w:pStyle w:val="ListParagraph"/>
        <w:numPr>
          <w:ilvl w:val="0"/>
          <w:numId w:val="2"/>
        </w:numPr>
        <w:spacing w:after="0" w:line="240" w:lineRule="auto"/>
        <w:ind w:hanging="720"/>
        <w:jc w:val="both"/>
      </w:pPr>
      <w:r>
        <w:t xml:space="preserve">The proceedings pursuant to the </w:t>
      </w:r>
      <w:r w:rsidRPr="00C87113">
        <w:rPr>
          <w:i/>
        </w:rPr>
        <w:t>Companies Creditors Arrangement Act</w:t>
      </w:r>
      <w:r>
        <w:t>, RSC 1985, c. C-36 (the “CCAA”) in respect to the Debtor shall be and are hereby terminated.</w:t>
      </w:r>
    </w:p>
    <w:p w:rsidR="001D5000" w:rsidRDefault="001D5000" w:rsidP="001D5000">
      <w:pPr>
        <w:spacing w:after="0" w:line="240" w:lineRule="auto"/>
        <w:jc w:val="both"/>
      </w:pPr>
    </w:p>
    <w:p w:rsidR="00363A67" w:rsidRDefault="00363A67" w:rsidP="001D5000">
      <w:pPr>
        <w:pStyle w:val="ListParagraph"/>
        <w:numPr>
          <w:ilvl w:val="0"/>
          <w:numId w:val="2"/>
        </w:numPr>
        <w:spacing w:after="0" w:line="240" w:lineRule="auto"/>
        <w:ind w:hanging="720"/>
        <w:jc w:val="both"/>
      </w:pPr>
      <w:r>
        <w:t>Upon payment and receipt of the $100,000.00 Administrat</w:t>
      </w:r>
      <w:r w:rsidR="001D5000">
        <w:t>ion charge set forth in paragraph 4 of the Charging Order dated May 1, 2019 (the “Charging Order”), and upon the Monitor filing a certificate, in substantially the form attached to this Order as Schedule “A” certifying that it has completed all remaining outstanding activities set out in paragraph 20 of the Initial Order dated May 1, 2019, which activities shall be deemed included in the Monitor’s mandate, the Monitor shall be discharged as Monitor of these proceedings by the Debtor</w:t>
      </w:r>
      <w:r w:rsidR="00C87113">
        <w:t>s</w:t>
      </w:r>
      <w:r w:rsidR="001D5000">
        <w:t xml:space="preserve"> pursuant to the CCAA;, provided that notwithstanding its discharge herein:</w:t>
      </w:r>
    </w:p>
    <w:p w:rsidR="00C87113" w:rsidRDefault="00C87113" w:rsidP="00C87113">
      <w:pPr>
        <w:spacing w:after="0" w:line="240" w:lineRule="auto"/>
        <w:jc w:val="both"/>
      </w:pPr>
      <w:r>
        <w:tab/>
      </w:r>
    </w:p>
    <w:p w:rsidR="00C87113" w:rsidRDefault="00C87113" w:rsidP="00C87113">
      <w:pPr>
        <w:pStyle w:val="ListParagraph"/>
        <w:numPr>
          <w:ilvl w:val="0"/>
          <w:numId w:val="4"/>
        </w:numPr>
        <w:spacing w:after="0" w:line="240" w:lineRule="auto"/>
        <w:ind w:hanging="720"/>
        <w:jc w:val="both"/>
      </w:pPr>
      <w:r>
        <w:t>The Monitor shall remain Monitor for the performance of such routine administrative tasks as may be required to complete the documentation of the Monitor’s mandate; and</w:t>
      </w:r>
    </w:p>
    <w:p w:rsidR="00C87113" w:rsidRDefault="00C87113" w:rsidP="00C87113">
      <w:pPr>
        <w:spacing w:after="0" w:line="240" w:lineRule="auto"/>
        <w:jc w:val="both"/>
      </w:pPr>
    </w:p>
    <w:p w:rsidR="00C87113" w:rsidRDefault="00C87113" w:rsidP="00C87113">
      <w:pPr>
        <w:pStyle w:val="ListParagraph"/>
        <w:numPr>
          <w:ilvl w:val="0"/>
          <w:numId w:val="4"/>
        </w:numPr>
        <w:spacing w:after="0" w:line="240" w:lineRule="auto"/>
        <w:ind w:hanging="720"/>
        <w:jc w:val="both"/>
      </w:pPr>
      <w:r>
        <w:t>The Monitor shall continue to have the benefit of the provisions of all Orders made in these proceedings, including all approvals, protections, security for the Administration Charge and stays of proceedings in favour of Deloitte Restructuring Inc., in its capacity as Monitor.</w:t>
      </w:r>
    </w:p>
    <w:p w:rsidR="009D2FF6" w:rsidRDefault="009D2FF6" w:rsidP="009D2FF6">
      <w:pPr>
        <w:spacing w:after="0" w:line="240" w:lineRule="auto"/>
        <w:jc w:val="both"/>
      </w:pPr>
    </w:p>
    <w:p w:rsidR="000F550A" w:rsidRDefault="000F550A" w:rsidP="001D5000">
      <w:pPr>
        <w:pStyle w:val="ListParagraph"/>
        <w:numPr>
          <w:ilvl w:val="0"/>
          <w:numId w:val="2"/>
        </w:numPr>
        <w:spacing w:after="0" w:line="240" w:lineRule="auto"/>
        <w:ind w:hanging="720"/>
        <w:jc w:val="both"/>
      </w:pPr>
      <w:r>
        <w:t>It is hereby adjudged and declared that, based upon the evidence that is currently before this Honourable Court in regard to the Actions of the Monitor:</w:t>
      </w:r>
    </w:p>
    <w:p w:rsidR="000F550A" w:rsidRDefault="000F550A" w:rsidP="000F550A">
      <w:pPr>
        <w:pStyle w:val="ListParagraph"/>
        <w:spacing w:after="0" w:line="240" w:lineRule="auto"/>
        <w:jc w:val="both"/>
      </w:pPr>
    </w:p>
    <w:p w:rsidR="000F550A" w:rsidRDefault="000F550A" w:rsidP="000F550A">
      <w:pPr>
        <w:pStyle w:val="ListParagraph"/>
        <w:numPr>
          <w:ilvl w:val="0"/>
          <w:numId w:val="3"/>
        </w:numPr>
        <w:spacing w:after="0" w:line="240" w:lineRule="auto"/>
        <w:ind w:hanging="720"/>
        <w:jc w:val="both"/>
      </w:pPr>
      <w:r>
        <w:t>The Monitor has acted honestly and in good faith, and has carried out the Monitor’s Mandate in a commercially reasonable manner;</w:t>
      </w:r>
    </w:p>
    <w:p w:rsidR="007B08AB" w:rsidRDefault="000F550A" w:rsidP="007B08AB">
      <w:pPr>
        <w:pStyle w:val="ListParagraph"/>
        <w:numPr>
          <w:ilvl w:val="0"/>
          <w:numId w:val="3"/>
        </w:numPr>
        <w:spacing w:after="0" w:line="240" w:lineRule="auto"/>
        <w:ind w:hanging="720"/>
        <w:jc w:val="both"/>
      </w:pPr>
      <w:r>
        <w:lastRenderedPageBreak/>
        <w:t>The Monitor has satisfied all of its duties and obligations pursuant to the Monitor’s Mandate;</w:t>
      </w:r>
    </w:p>
    <w:p w:rsidR="009D2FF6" w:rsidRDefault="009D2FF6" w:rsidP="009D2FF6">
      <w:pPr>
        <w:spacing w:after="0" w:line="240" w:lineRule="auto"/>
        <w:jc w:val="both"/>
      </w:pPr>
    </w:p>
    <w:p w:rsidR="007B08AB" w:rsidRDefault="000F550A" w:rsidP="000F550A">
      <w:pPr>
        <w:pStyle w:val="ListParagraph"/>
        <w:numPr>
          <w:ilvl w:val="0"/>
          <w:numId w:val="3"/>
        </w:numPr>
        <w:spacing w:after="0" w:line="240" w:lineRule="auto"/>
        <w:ind w:hanging="720"/>
        <w:jc w:val="both"/>
      </w:pPr>
      <w:r>
        <w:t>The Monitor shall not be liable for any act or omission arising from, relating to or in connection with its discharge of the Monitor’</w:t>
      </w:r>
      <w:r w:rsidR="007B08AB">
        <w:t>s Mandate, save and except for any liability arising out of fraud, gross negligence or wilful misconduct on the part of the Monitor;</w:t>
      </w:r>
    </w:p>
    <w:p w:rsidR="00C87113" w:rsidRDefault="00C87113" w:rsidP="00C87113">
      <w:pPr>
        <w:spacing w:after="0" w:line="240" w:lineRule="auto"/>
        <w:jc w:val="both"/>
      </w:pPr>
    </w:p>
    <w:p w:rsidR="007B08AB" w:rsidRDefault="007B08AB" w:rsidP="000F550A">
      <w:pPr>
        <w:pStyle w:val="ListParagraph"/>
        <w:numPr>
          <w:ilvl w:val="0"/>
          <w:numId w:val="3"/>
        </w:numPr>
        <w:spacing w:after="0" w:line="240" w:lineRule="auto"/>
        <w:ind w:hanging="720"/>
        <w:jc w:val="both"/>
      </w:pPr>
      <w:r>
        <w:t>The Monitor has never had and shall not in the future have any liability in regard to any act or omission of the Debtor</w:t>
      </w:r>
      <w:r w:rsidR="00C87113">
        <w:t>s</w:t>
      </w:r>
      <w:r>
        <w:t>, including, without limitation, in relation to the business of the Debtor</w:t>
      </w:r>
      <w:r w:rsidR="00C87113">
        <w:t>s</w:t>
      </w:r>
      <w:r>
        <w:t>, payment of and/or accounting for any taxes (including, without limitation, goods and services tax) on revenues earned or any indebtedness or obligations whatsoever or howsoever incurred by the Debtor</w:t>
      </w:r>
      <w:r w:rsidR="00C87113">
        <w:t>s</w:t>
      </w:r>
      <w:r>
        <w:t>; and</w:t>
      </w:r>
    </w:p>
    <w:p w:rsidR="007B08AB" w:rsidRDefault="007B08AB" w:rsidP="007B08AB">
      <w:pPr>
        <w:spacing w:after="0" w:line="240" w:lineRule="auto"/>
        <w:jc w:val="both"/>
      </w:pPr>
    </w:p>
    <w:p w:rsidR="000F550A" w:rsidRDefault="007B08AB" w:rsidP="000F550A">
      <w:pPr>
        <w:pStyle w:val="ListParagraph"/>
        <w:numPr>
          <w:ilvl w:val="0"/>
          <w:numId w:val="3"/>
        </w:numPr>
        <w:spacing w:after="0" w:line="240" w:lineRule="auto"/>
        <w:ind w:hanging="720"/>
        <w:jc w:val="both"/>
      </w:pPr>
      <w:r>
        <w:t xml:space="preserve">No person shall commence an action or proceeding asserting a claim against the Monitor arising from, relating to or in connection with its discharge of the Monitor’s Mandate </w:t>
      </w:r>
      <w:r w:rsidR="000F550A">
        <w:t xml:space="preserve">without first obtaining an Order of this Honourable Court (on notice to the Monitor) granting such person leave to commence such action or proceeding, and any such </w:t>
      </w:r>
      <w:r w:rsidR="009D2FF6">
        <w:t>action or proceeding commenced without such leave being obtained is a nullity.</w:t>
      </w:r>
    </w:p>
    <w:p w:rsidR="000F550A" w:rsidRDefault="000F550A" w:rsidP="000F550A">
      <w:pPr>
        <w:spacing w:after="0" w:line="240" w:lineRule="auto"/>
        <w:jc w:val="both"/>
      </w:pPr>
    </w:p>
    <w:p w:rsidR="000F550A" w:rsidRDefault="000F550A" w:rsidP="001D5000">
      <w:pPr>
        <w:pStyle w:val="ListParagraph"/>
        <w:numPr>
          <w:ilvl w:val="0"/>
          <w:numId w:val="2"/>
        </w:numPr>
        <w:spacing w:after="0" w:line="240" w:lineRule="auto"/>
        <w:ind w:hanging="720"/>
        <w:jc w:val="both"/>
      </w:pPr>
      <w:r>
        <w:t>Subject to the foregoing, any claims against the Monitor in connection with the Monitor’s Mandate are hereby stayed, extinguished and forever barred.</w:t>
      </w:r>
    </w:p>
    <w:p w:rsidR="007B08AB" w:rsidRDefault="007B08AB" w:rsidP="007B08AB">
      <w:pPr>
        <w:spacing w:after="0" w:line="240" w:lineRule="auto"/>
        <w:jc w:val="both"/>
      </w:pPr>
    </w:p>
    <w:p w:rsidR="000F550A" w:rsidRDefault="000F550A" w:rsidP="001D5000">
      <w:pPr>
        <w:pStyle w:val="ListParagraph"/>
        <w:numPr>
          <w:ilvl w:val="0"/>
          <w:numId w:val="2"/>
        </w:numPr>
        <w:spacing w:after="0" w:line="240" w:lineRule="auto"/>
        <w:ind w:hanging="720"/>
        <w:jc w:val="both"/>
      </w:pPr>
      <w:r>
        <w:t>Notwithstanding the discharge of the Monitor, the Monitor is hereby granted leave to apply to this Court for such further advice, direction or assistance as may be necessary to give effect to the terms of this Order.</w:t>
      </w:r>
    </w:p>
    <w:p w:rsidR="009D2FF6" w:rsidRDefault="009D2FF6" w:rsidP="009D2FF6">
      <w:pPr>
        <w:pStyle w:val="ListParagraph"/>
        <w:spacing w:after="0" w:line="240" w:lineRule="auto"/>
        <w:jc w:val="both"/>
      </w:pPr>
    </w:p>
    <w:p w:rsidR="009D2FF6" w:rsidRPr="009D2FF6" w:rsidRDefault="009D2FF6" w:rsidP="009D2FF6">
      <w:pPr>
        <w:pStyle w:val="ListParagraph"/>
        <w:spacing w:after="0" w:line="240" w:lineRule="auto"/>
        <w:ind w:hanging="720"/>
        <w:jc w:val="both"/>
        <w:rPr>
          <w:b/>
        </w:rPr>
      </w:pPr>
      <w:r w:rsidRPr="009D2FF6">
        <w:rPr>
          <w:b/>
        </w:rPr>
        <w:t>MISCELLANEOUS MATTERS</w:t>
      </w:r>
    </w:p>
    <w:p w:rsidR="007B08AB" w:rsidRDefault="007B08AB" w:rsidP="007B08AB">
      <w:pPr>
        <w:spacing w:after="0" w:line="240" w:lineRule="auto"/>
        <w:jc w:val="both"/>
      </w:pPr>
    </w:p>
    <w:p w:rsidR="007B08AB" w:rsidRDefault="007B08AB" w:rsidP="001D5000">
      <w:pPr>
        <w:pStyle w:val="ListParagraph"/>
        <w:numPr>
          <w:ilvl w:val="0"/>
          <w:numId w:val="2"/>
        </w:numPr>
        <w:spacing w:after="0" w:line="240" w:lineRule="auto"/>
        <w:ind w:hanging="720"/>
        <w:jc w:val="both"/>
      </w:pPr>
      <w:r>
        <w:t>This Order shall have full force and effect in all Provinces and Territories in Canada, outside Canada and against whom it may be enforceable.</w:t>
      </w:r>
    </w:p>
    <w:p w:rsidR="000F550A" w:rsidRDefault="000F550A" w:rsidP="000F550A">
      <w:pPr>
        <w:spacing w:after="0" w:line="240" w:lineRule="auto"/>
        <w:jc w:val="both"/>
      </w:pPr>
    </w:p>
    <w:p w:rsidR="00363A67" w:rsidRDefault="00363A67" w:rsidP="00363A67">
      <w:pPr>
        <w:spacing w:after="0" w:line="240" w:lineRule="auto"/>
      </w:pPr>
    </w:p>
    <w:p w:rsidR="009D2FF6" w:rsidRDefault="009D2FF6" w:rsidP="00363A67">
      <w:pPr>
        <w:spacing w:after="0" w:line="240" w:lineRule="auto"/>
      </w:pPr>
      <w:r w:rsidRPr="009D2FF6">
        <w:rPr>
          <w:b/>
        </w:rPr>
        <w:t>ISSUED AT</w:t>
      </w:r>
      <w:r>
        <w:t xml:space="preserve"> St. John’s, Newfoundland and Labrador, this _________ day of August, 2019.</w:t>
      </w:r>
    </w:p>
    <w:p w:rsidR="009D2FF6" w:rsidRDefault="009D2FF6" w:rsidP="00363A67">
      <w:pPr>
        <w:spacing w:after="0" w:line="240" w:lineRule="auto"/>
      </w:pPr>
    </w:p>
    <w:p w:rsidR="009D2FF6" w:rsidRDefault="009D2FF6" w:rsidP="00363A67">
      <w:pPr>
        <w:spacing w:after="0" w:line="240" w:lineRule="auto"/>
      </w:pPr>
    </w:p>
    <w:p w:rsidR="009D2FF6" w:rsidRDefault="009D2FF6" w:rsidP="00363A67">
      <w:pPr>
        <w:spacing w:after="0" w:line="240" w:lineRule="auto"/>
      </w:pPr>
    </w:p>
    <w:p w:rsidR="009D2FF6" w:rsidRDefault="009D2FF6" w:rsidP="00363A67">
      <w:pPr>
        <w:spacing w:after="0" w:line="240" w:lineRule="auto"/>
      </w:pPr>
      <w:r>
        <w:tab/>
      </w:r>
    </w:p>
    <w:p w:rsidR="009D2FF6" w:rsidRDefault="009D2FF6" w:rsidP="00363A67">
      <w:pPr>
        <w:spacing w:after="0" w:line="240" w:lineRule="auto"/>
      </w:pPr>
      <w:r>
        <w:tab/>
      </w:r>
      <w:r>
        <w:tab/>
      </w:r>
      <w:r>
        <w:tab/>
      </w:r>
      <w:r>
        <w:tab/>
      </w:r>
      <w:r>
        <w:tab/>
      </w:r>
      <w:r>
        <w:tab/>
        <w:t>Per:</w:t>
      </w:r>
      <w:r>
        <w:tab/>
        <w:t>______________________________________</w:t>
      </w:r>
    </w:p>
    <w:p w:rsidR="009D2FF6" w:rsidRDefault="009D2FF6" w:rsidP="00363A67">
      <w:pPr>
        <w:spacing w:after="0" w:line="240" w:lineRule="auto"/>
      </w:pPr>
      <w:r>
        <w:tab/>
      </w:r>
      <w:r>
        <w:tab/>
      </w:r>
      <w:r>
        <w:tab/>
      </w:r>
      <w:r>
        <w:tab/>
      </w:r>
      <w:r>
        <w:tab/>
      </w:r>
      <w:r>
        <w:tab/>
      </w:r>
      <w:r>
        <w:tab/>
        <w:t>Name</w:t>
      </w:r>
    </w:p>
    <w:p w:rsidR="009D2FF6" w:rsidRDefault="009D2FF6" w:rsidP="00363A67">
      <w:pPr>
        <w:spacing w:after="0" w:line="240" w:lineRule="auto"/>
      </w:pPr>
      <w:r>
        <w:tab/>
      </w:r>
      <w:r>
        <w:tab/>
      </w:r>
      <w:r>
        <w:tab/>
      </w:r>
      <w:r>
        <w:tab/>
      </w:r>
      <w:r>
        <w:tab/>
      </w:r>
      <w:r>
        <w:tab/>
      </w:r>
      <w:r>
        <w:tab/>
        <w:t>Title</w:t>
      </w:r>
    </w:p>
    <w:sectPr w:rsidR="009D2FF6" w:rsidSect="00477B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B0" w:rsidRDefault="00477BB0" w:rsidP="00477BB0">
      <w:pPr>
        <w:spacing w:after="0" w:line="240" w:lineRule="auto"/>
      </w:pPr>
      <w:r>
        <w:separator/>
      </w:r>
    </w:p>
  </w:endnote>
  <w:endnote w:type="continuationSeparator" w:id="0">
    <w:p w:rsidR="00477BB0" w:rsidRDefault="00477BB0" w:rsidP="0047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Default="00F11A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Pr="00F11AA7" w:rsidRDefault="00807F10">
    <w:pPr>
      <w:pStyle w:val="Footer"/>
    </w:pPr>
    <w:r>
      <w:rPr>
        <w:noProof/>
      </w:rPr>
      <w:t>{6208 15552 00458434.DOCX}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Pr="00F11AA7" w:rsidRDefault="00807F10">
    <w:pPr>
      <w:pStyle w:val="Footer"/>
    </w:pPr>
    <w:r>
      <w:rPr>
        <w:noProof/>
      </w:rPr>
      <w:t>{6208 15552 00458434.DOCX}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B0" w:rsidRDefault="00477BB0" w:rsidP="00477BB0">
      <w:pPr>
        <w:spacing w:after="0" w:line="240" w:lineRule="auto"/>
        <w:rPr>
          <w:noProof/>
        </w:rPr>
      </w:pPr>
      <w:r>
        <w:rPr>
          <w:noProof/>
        </w:rPr>
        <w:separator/>
      </w:r>
    </w:p>
  </w:footnote>
  <w:footnote w:type="continuationSeparator" w:id="0">
    <w:p w:rsidR="00477BB0" w:rsidRDefault="00477BB0" w:rsidP="00477B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Default="00F1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41297575"/>
      <w:docPartObj>
        <w:docPartGallery w:val="Page Numbers (Top of Page)"/>
        <w:docPartUnique/>
      </w:docPartObj>
    </w:sdtPr>
    <w:sdtEndPr>
      <w:rPr>
        <w:b/>
        <w:bCs/>
        <w:noProof/>
        <w:color w:val="auto"/>
        <w:spacing w:val="0"/>
      </w:rPr>
    </w:sdtEndPr>
    <w:sdtContent>
      <w:p w:rsidR="00477BB0" w:rsidRDefault="00477BB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07F10" w:rsidRPr="00807F10">
          <w:rPr>
            <w:b/>
            <w:bCs/>
            <w:noProof/>
          </w:rPr>
          <w:t>2</w:t>
        </w:r>
        <w:r>
          <w:rPr>
            <w:b/>
            <w:bCs/>
            <w:noProof/>
          </w:rPr>
          <w:fldChar w:fldCharType="end"/>
        </w:r>
      </w:p>
    </w:sdtContent>
  </w:sdt>
  <w:p w:rsidR="00477BB0" w:rsidRDefault="00477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AA7" w:rsidRDefault="00F1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438C"/>
    <w:multiLevelType w:val="hybridMultilevel"/>
    <w:tmpl w:val="3AECF87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4772145D"/>
    <w:multiLevelType w:val="hybridMultilevel"/>
    <w:tmpl w:val="1A8E22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B7527A6"/>
    <w:multiLevelType w:val="hybridMultilevel"/>
    <w:tmpl w:val="7BC4A46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7654465A"/>
    <w:multiLevelType w:val="hybridMultilevel"/>
    <w:tmpl w:val="3CB0826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07"/>
    <w:rsid w:val="00062BC2"/>
    <w:rsid w:val="000F550A"/>
    <w:rsid w:val="00106DC7"/>
    <w:rsid w:val="00156AB0"/>
    <w:rsid w:val="00184949"/>
    <w:rsid w:val="00196F3E"/>
    <w:rsid w:val="001D5000"/>
    <w:rsid w:val="001E553F"/>
    <w:rsid w:val="00363A67"/>
    <w:rsid w:val="00477BB0"/>
    <w:rsid w:val="00731432"/>
    <w:rsid w:val="007B08AB"/>
    <w:rsid w:val="00807F10"/>
    <w:rsid w:val="009D2FF6"/>
    <w:rsid w:val="00C87113"/>
    <w:rsid w:val="00DA1904"/>
    <w:rsid w:val="00E74971"/>
    <w:rsid w:val="00EA7B07"/>
    <w:rsid w:val="00F11AA7"/>
    <w:rsid w:val="00F23F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CDF69-F213-429E-A853-B21572B7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7B07"/>
    <w:pPr>
      <w:keepNext/>
      <w:spacing w:after="0" w:line="240" w:lineRule="auto"/>
      <w:jc w:val="center"/>
      <w:outlineLvl w:val="0"/>
    </w:pPr>
    <w:rPr>
      <w:b/>
    </w:rPr>
  </w:style>
  <w:style w:type="paragraph" w:styleId="Heading2">
    <w:name w:val="heading 2"/>
    <w:basedOn w:val="Normal"/>
    <w:next w:val="Normal"/>
    <w:link w:val="Heading2Char"/>
    <w:uiPriority w:val="9"/>
    <w:unhideWhenUsed/>
    <w:qFormat/>
    <w:rsid w:val="00196F3E"/>
    <w:pPr>
      <w:keepNext/>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07"/>
    <w:rPr>
      <w:b/>
    </w:rPr>
  </w:style>
  <w:style w:type="character" w:customStyle="1" w:styleId="Heading2Char">
    <w:name w:val="Heading 2 Char"/>
    <w:basedOn w:val="DefaultParagraphFont"/>
    <w:link w:val="Heading2"/>
    <w:uiPriority w:val="9"/>
    <w:rsid w:val="00196F3E"/>
    <w:rPr>
      <w:b/>
    </w:rPr>
  </w:style>
  <w:style w:type="paragraph" w:styleId="ListParagraph">
    <w:name w:val="List Paragraph"/>
    <w:basedOn w:val="Normal"/>
    <w:uiPriority w:val="34"/>
    <w:qFormat/>
    <w:rsid w:val="00196F3E"/>
    <w:pPr>
      <w:ind w:left="720"/>
      <w:contextualSpacing/>
    </w:pPr>
  </w:style>
  <w:style w:type="paragraph" w:styleId="BodyText">
    <w:name w:val="Body Text"/>
    <w:basedOn w:val="Normal"/>
    <w:link w:val="BodyTextChar"/>
    <w:uiPriority w:val="99"/>
    <w:unhideWhenUsed/>
    <w:rsid w:val="00156AB0"/>
    <w:pPr>
      <w:spacing w:after="0" w:line="240" w:lineRule="auto"/>
      <w:jc w:val="both"/>
    </w:pPr>
  </w:style>
  <w:style w:type="character" w:customStyle="1" w:styleId="BodyTextChar">
    <w:name w:val="Body Text Char"/>
    <w:basedOn w:val="DefaultParagraphFont"/>
    <w:link w:val="BodyText"/>
    <w:uiPriority w:val="99"/>
    <w:rsid w:val="00156AB0"/>
  </w:style>
  <w:style w:type="table" w:styleId="TableGrid">
    <w:name w:val="Table Grid"/>
    <w:basedOn w:val="TableNormal"/>
    <w:uiPriority w:val="39"/>
    <w:rsid w:val="00F2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B0"/>
  </w:style>
  <w:style w:type="paragraph" w:styleId="Footer">
    <w:name w:val="footer"/>
    <w:basedOn w:val="Normal"/>
    <w:link w:val="FooterChar"/>
    <w:uiPriority w:val="99"/>
    <w:unhideWhenUsed/>
    <w:rsid w:val="0047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DCDCDD8CB7EB47B630CDD572E11DDD" ma:contentTypeVersion="1" ma:contentTypeDescription="Create a new document." ma:contentTypeScope="" ma:versionID="2923072b5fb61ccd3601b7ab996c131f">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CE4B16-78FD-4A19-8DCC-7BB7E5D94896}"/>
</file>

<file path=customXml/itemProps2.xml><?xml version="1.0" encoding="utf-8"?>
<ds:datastoreItem xmlns:ds="http://schemas.openxmlformats.org/officeDocument/2006/customXml" ds:itemID="{9096414F-662D-4D4C-8C1B-D1CE13B7A8B2}"/>
</file>

<file path=customXml/itemProps3.xml><?xml version="1.0" encoding="utf-8"?>
<ds:datastoreItem xmlns:ds="http://schemas.openxmlformats.org/officeDocument/2006/customXml" ds:itemID="{FFC74466-56DF-41FC-95CF-1DDB612A1876}"/>
</file>

<file path=docProps/app.xml><?xml version="1.0" encoding="utf-8"?>
<Properties xmlns="http://schemas.openxmlformats.org/officeDocument/2006/extended-properties" xmlns:vt="http://schemas.openxmlformats.org/officeDocument/2006/docPropsVTypes">
  <Template>Normal.dotm</Template>
  <TotalTime>9</TotalTime>
  <Pages>3</Pages>
  <Words>957</Words>
  <Characters>5030</Characters>
  <Application>Microsoft Office Word</Application>
  <DocSecurity>0</DocSecurity>
  <PresentationFormat/>
  <Lines>139</Lines>
  <Paragraphs>52</Paragraphs>
  <ScaleCrop>false</ScaleCrop>
  <HeadingPairs>
    <vt:vector size="2" baseType="variant">
      <vt:variant>
        <vt:lpstr>Title</vt:lpstr>
      </vt:variant>
      <vt:variant>
        <vt:i4>1</vt:i4>
      </vt:variant>
    </vt:vector>
  </HeadingPairs>
  <TitlesOfParts>
    <vt:vector size="1" baseType="lpstr">
      <vt:lpstr>DISCHARGE ORDER (00458434).DOCX</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ORDER (00458434).DOCX</dc:title>
  <dc:subject>6208 15552 00458434.DOCX</dc:subject>
  <dc:creator>Lauren Fillmore</dc:creator>
  <cp:keywords/>
  <dc:description/>
  <cp:lastModifiedBy>Bruce Johnson</cp:lastModifiedBy>
  <cp:revision>8</cp:revision>
  <dcterms:created xsi:type="dcterms:W3CDTF">2019-07-17T15:38:00Z</dcterms:created>
  <dcterms:modified xsi:type="dcterms:W3CDTF">2019-07-17T19:28:00Z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0x01010056DCDCDD8CB7EB47B630CDD572E11DDD</vt:lpwstr>
  </property>
</Properties>
</file>